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B54E08" w:rsidRPr="00F17C4F" w:rsidTr="00BC1209">
        <w:tc>
          <w:tcPr>
            <w:tcW w:w="10598" w:type="dxa"/>
            <w:shd w:val="clear" w:color="auto" w:fill="auto"/>
          </w:tcPr>
          <w:p w:rsidR="00B54E08" w:rsidRPr="00CD5AE0" w:rsidRDefault="00B54E08" w:rsidP="00BC1209">
            <w:pPr>
              <w:jc w:val="center"/>
              <w:rPr>
                <w:sz w:val="24"/>
                <w:szCs w:val="24"/>
              </w:rPr>
            </w:pPr>
            <w:r w:rsidRPr="00CD5AE0">
              <w:rPr>
                <w:sz w:val="24"/>
                <w:szCs w:val="24"/>
              </w:rPr>
              <w:t>Département de l’Hérault – Canton de LODEVE – Commune de Soubès</w:t>
            </w:r>
          </w:p>
        </w:tc>
      </w:tr>
      <w:tr w:rsidR="00B54E08" w:rsidRPr="00F17C4F" w:rsidTr="00BC1209">
        <w:tc>
          <w:tcPr>
            <w:tcW w:w="10598" w:type="dxa"/>
            <w:shd w:val="clear" w:color="auto" w:fill="auto"/>
          </w:tcPr>
          <w:p w:rsidR="00B54E08" w:rsidRPr="007B1D77" w:rsidRDefault="00B54E08" w:rsidP="00BC1209">
            <w:pPr>
              <w:jc w:val="center"/>
              <w:rPr>
                <w:b/>
                <w:sz w:val="24"/>
                <w:szCs w:val="24"/>
              </w:rPr>
            </w:pPr>
            <w:r w:rsidRPr="007B1D77">
              <w:rPr>
                <w:b/>
                <w:sz w:val="24"/>
                <w:szCs w:val="24"/>
              </w:rPr>
              <w:t>DELIBERATION DE L’ASSEMBLEE GENERALE DU GECOH</w:t>
            </w:r>
          </w:p>
        </w:tc>
      </w:tr>
      <w:tr w:rsidR="00B54E08" w:rsidRPr="00F17C4F" w:rsidTr="00BC1209">
        <w:tc>
          <w:tcPr>
            <w:tcW w:w="10598" w:type="dxa"/>
            <w:shd w:val="clear" w:color="auto" w:fill="auto"/>
          </w:tcPr>
          <w:p w:rsidR="00B54E08" w:rsidRPr="00CD5AE0" w:rsidRDefault="00B54E08" w:rsidP="00BC1209">
            <w:pPr>
              <w:jc w:val="center"/>
              <w:rPr>
                <w:sz w:val="24"/>
                <w:szCs w:val="24"/>
              </w:rPr>
            </w:pPr>
            <w:r w:rsidRPr="00CD5AE0">
              <w:rPr>
                <w:sz w:val="24"/>
                <w:szCs w:val="24"/>
              </w:rPr>
              <w:t>Groupement des Etablissements Médico-Sociaux du Cœur d’Hérault</w:t>
            </w:r>
          </w:p>
        </w:tc>
      </w:tr>
    </w:tbl>
    <w:p w:rsidR="00B54E08" w:rsidRPr="00F17C4F" w:rsidRDefault="00B54E08" w:rsidP="00CD5AE0">
      <w:pPr>
        <w:tabs>
          <w:tab w:val="left" w:pos="708"/>
        </w:tabs>
        <w:rPr>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01"/>
        <w:gridCol w:w="6529"/>
      </w:tblGrid>
      <w:tr w:rsidR="00AD112E" w:rsidRPr="004A718C" w:rsidTr="00BC1209">
        <w:tc>
          <w:tcPr>
            <w:tcW w:w="2376" w:type="dxa"/>
            <w:shd w:val="clear" w:color="auto" w:fill="auto"/>
          </w:tcPr>
          <w:p w:rsidR="00AD112E" w:rsidRPr="004A718C" w:rsidRDefault="00AD112E" w:rsidP="00AD112E">
            <w:bookmarkStart w:id="0" w:name="_Hlk164157322"/>
            <w:r w:rsidRPr="004A718C">
              <w:t>Date de la convocation</w:t>
            </w:r>
          </w:p>
        </w:tc>
        <w:tc>
          <w:tcPr>
            <w:tcW w:w="1701" w:type="dxa"/>
            <w:shd w:val="clear" w:color="auto" w:fill="auto"/>
          </w:tcPr>
          <w:p w:rsidR="00AD112E" w:rsidRPr="004A718C" w:rsidRDefault="00EB09D1" w:rsidP="00AD112E">
            <w:r>
              <w:t>14</w:t>
            </w:r>
            <w:r w:rsidR="00CD5AE0" w:rsidRPr="004A718C">
              <w:t>/03/202</w:t>
            </w:r>
            <w:r>
              <w:t>5</w:t>
            </w:r>
            <w:r w:rsidR="00533F4A">
              <w:t xml:space="preserve"> et 02/04/2025</w:t>
            </w:r>
          </w:p>
        </w:tc>
        <w:tc>
          <w:tcPr>
            <w:tcW w:w="6529" w:type="dxa"/>
            <w:shd w:val="clear" w:color="auto" w:fill="auto"/>
          </w:tcPr>
          <w:p w:rsidR="00AD112E" w:rsidRPr="004A718C" w:rsidRDefault="00AD112E" w:rsidP="00AD112E">
            <w:pPr>
              <w:rPr>
                <w:b/>
              </w:rPr>
            </w:pPr>
            <w:r w:rsidRPr="004A718C">
              <w:rPr>
                <w:b/>
              </w:rPr>
              <w:t xml:space="preserve">Séance du : </w:t>
            </w:r>
            <w:r w:rsidR="00EB09D1">
              <w:rPr>
                <w:b/>
              </w:rPr>
              <w:t>1</w:t>
            </w:r>
            <w:r w:rsidR="00EB09D1" w:rsidRPr="00EB09D1">
              <w:rPr>
                <w:b/>
                <w:vertAlign w:val="superscript"/>
              </w:rPr>
              <w:t>er</w:t>
            </w:r>
            <w:r w:rsidR="00EB09D1">
              <w:rPr>
                <w:b/>
              </w:rPr>
              <w:t xml:space="preserve"> Avril 2025</w:t>
            </w:r>
            <w:r w:rsidR="00533F4A">
              <w:rPr>
                <w:b/>
              </w:rPr>
              <w:t xml:space="preserve"> reprogrammée le 9 avril 2025 pour cause de non atteinte du quorum</w:t>
            </w:r>
          </w:p>
        </w:tc>
      </w:tr>
      <w:tr w:rsidR="00AD112E" w:rsidRPr="004A718C" w:rsidTr="00BC1209">
        <w:tc>
          <w:tcPr>
            <w:tcW w:w="2376" w:type="dxa"/>
            <w:shd w:val="clear" w:color="auto" w:fill="auto"/>
          </w:tcPr>
          <w:p w:rsidR="00AD112E" w:rsidRPr="004A718C" w:rsidRDefault="00AD112E" w:rsidP="00AD112E">
            <w:r w:rsidRPr="004A718C">
              <w:t>Convoqués : 30</w:t>
            </w:r>
          </w:p>
        </w:tc>
        <w:tc>
          <w:tcPr>
            <w:tcW w:w="1701" w:type="dxa"/>
            <w:shd w:val="clear" w:color="auto" w:fill="auto"/>
          </w:tcPr>
          <w:p w:rsidR="00AD112E" w:rsidRPr="004A718C" w:rsidRDefault="00AD112E" w:rsidP="00AD112E">
            <w:r w:rsidRPr="004A718C">
              <w:t xml:space="preserve">Votes : </w:t>
            </w:r>
          </w:p>
        </w:tc>
        <w:tc>
          <w:tcPr>
            <w:tcW w:w="6529" w:type="dxa"/>
            <w:vMerge w:val="restart"/>
            <w:shd w:val="clear" w:color="auto" w:fill="auto"/>
          </w:tcPr>
          <w:p w:rsidR="00AD112E" w:rsidRPr="004A718C" w:rsidRDefault="00AD112E" w:rsidP="00AD112E">
            <w:r w:rsidRPr="004A718C">
              <w:t>L’an deux mille vingt</w:t>
            </w:r>
            <w:r w:rsidR="008837C5" w:rsidRPr="004A718C">
              <w:t>-</w:t>
            </w:r>
            <w:r w:rsidR="00EB09D1">
              <w:t>cinq</w:t>
            </w:r>
            <w:r w:rsidRPr="004A718C">
              <w:t xml:space="preserve"> et </w:t>
            </w:r>
            <w:r w:rsidR="00CD5AE0" w:rsidRPr="004A718C">
              <w:t xml:space="preserve">le </w:t>
            </w:r>
            <w:r w:rsidR="007D3D09">
              <w:t>neuf</w:t>
            </w:r>
            <w:r w:rsidR="00CD5AE0" w:rsidRPr="004A718C">
              <w:t xml:space="preserve"> avril</w:t>
            </w:r>
            <w:r w:rsidRPr="004A718C">
              <w:t xml:space="preserve"> à </w:t>
            </w:r>
            <w:proofErr w:type="spellStart"/>
            <w:r w:rsidR="00EB09D1">
              <w:t>dix sept</w:t>
            </w:r>
            <w:proofErr w:type="spellEnd"/>
            <w:r w:rsidRPr="004A718C">
              <w:t xml:space="preserve"> heures, l’Assemblée Générale du GECOH, dûment convoquée le </w:t>
            </w:r>
            <w:r w:rsidR="00EB09D1">
              <w:t>14</w:t>
            </w:r>
            <w:r w:rsidR="008C00C8" w:rsidRPr="004A718C">
              <w:t xml:space="preserve"> mars</w:t>
            </w:r>
            <w:r w:rsidRPr="004A718C">
              <w:t xml:space="preserve"> 202</w:t>
            </w:r>
            <w:r w:rsidR="00EB09D1">
              <w:t>5</w:t>
            </w:r>
            <w:r w:rsidR="00533F4A">
              <w:t xml:space="preserve"> puis le 2 avril 2025, le quorum n’étant pas atteint le 1</w:t>
            </w:r>
            <w:r w:rsidR="00533F4A" w:rsidRPr="00533F4A">
              <w:rPr>
                <w:vertAlign w:val="superscript"/>
              </w:rPr>
              <w:t>er</w:t>
            </w:r>
            <w:r w:rsidR="00533F4A">
              <w:t xml:space="preserve"> avril 2025</w:t>
            </w:r>
            <w:r w:rsidRPr="004A718C">
              <w:t>, s’est réunie en session ordinaire et sous la Présidence de son Président.</w:t>
            </w:r>
          </w:p>
          <w:p w:rsidR="00AD112E" w:rsidRPr="004A718C" w:rsidRDefault="00AD112E" w:rsidP="00AD112E"/>
        </w:tc>
      </w:tr>
      <w:tr w:rsidR="00AD112E" w:rsidRPr="004A718C" w:rsidTr="00BC1209">
        <w:tc>
          <w:tcPr>
            <w:tcW w:w="2376" w:type="dxa"/>
            <w:shd w:val="clear" w:color="auto" w:fill="auto"/>
          </w:tcPr>
          <w:p w:rsidR="00AD112E" w:rsidRPr="004A718C" w:rsidRDefault="00AD112E" w:rsidP="00AD112E">
            <w:pPr>
              <w:jc w:val="both"/>
              <w:rPr>
                <w:rFonts w:ascii="Calibri" w:hAnsi="Calibri"/>
                <w:sz w:val="22"/>
                <w:szCs w:val="22"/>
              </w:rPr>
            </w:pPr>
            <w:r w:rsidRPr="004A718C">
              <w:t>Présents</w:t>
            </w:r>
            <w:r w:rsidR="00CD5AE0" w:rsidRPr="004A718C">
              <w:t xml:space="preserve"> : </w:t>
            </w:r>
          </w:p>
        </w:tc>
        <w:tc>
          <w:tcPr>
            <w:tcW w:w="1701" w:type="dxa"/>
            <w:shd w:val="clear" w:color="auto" w:fill="auto"/>
          </w:tcPr>
          <w:p w:rsidR="00AD112E" w:rsidRPr="004A718C" w:rsidRDefault="00AD112E" w:rsidP="00AD112E">
            <w:pPr>
              <w:jc w:val="both"/>
              <w:rPr>
                <w:rFonts w:ascii="Calibri" w:hAnsi="Calibri"/>
                <w:sz w:val="22"/>
                <w:szCs w:val="22"/>
              </w:rPr>
            </w:pPr>
            <w:r w:rsidRPr="004A718C">
              <w:t xml:space="preserve">Pour : </w:t>
            </w:r>
          </w:p>
        </w:tc>
        <w:tc>
          <w:tcPr>
            <w:tcW w:w="6529" w:type="dxa"/>
            <w:vMerge/>
            <w:shd w:val="clear" w:color="auto" w:fill="auto"/>
          </w:tcPr>
          <w:p w:rsidR="00AD112E" w:rsidRPr="004A718C" w:rsidRDefault="00AD112E" w:rsidP="00AD112E">
            <w:pPr>
              <w:jc w:val="both"/>
              <w:rPr>
                <w:rFonts w:ascii="Calibri" w:hAnsi="Calibri"/>
                <w:sz w:val="22"/>
                <w:szCs w:val="22"/>
              </w:rPr>
            </w:pPr>
          </w:p>
        </w:tc>
      </w:tr>
      <w:tr w:rsidR="00AD112E" w:rsidRPr="004A718C" w:rsidTr="00BC1209">
        <w:tc>
          <w:tcPr>
            <w:tcW w:w="2376" w:type="dxa"/>
            <w:shd w:val="clear" w:color="auto" w:fill="auto"/>
          </w:tcPr>
          <w:p w:rsidR="00AD112E" w:rsidRPr="004A718C" w:rsidRDefault="00AD112E" w:rsidP="00AD112E">
            <w:pPr>
              <w:jc w:val="both"/>
              <w:rPr>
                <w:rFonts w:ascii="Calibri" w:hAnsi="Calibri"/>
                <w:sz w:val="22"/>
                <w:szCs w:val="22"/>
              </w:rPr>
            </w:pPr>
            <w:r w:rsidRPr="004A718C">
              <w:t>Absents :</w:t>
            </w:r>
            <w:r w:rsidR="008C00C8" w:rsidRPr="004A718C">
              <w:t xml:space="preserve"> </w:t>
            </w:r>
          </w:p>
        </w:tc>
        <w:tc>
          <w:tcPr>
            <w:tcW w:w="1701" w:type="dxa"/>
            <w:shd w:val="clear" w:color="auto" w:fill="auto"/>
          </w:tcPr>
          <w:p w:rsidR="00AD112E" w:rsidRPr="004A718C" w:rsidRDefault="00AD112E" w:rsidP="00AD112E">
            <w:pPr>
              <w:jc w:val="both"/>
              <w:rPr>
                <w:rFonts w:ascii="Calibri" w:hAnsi="Calibri"/>
                <w:sz w:val="22"/>
                <w:szCs w:val="22"/>
              </w:rPr>
            </w:pPr>
            <w:r w:rsidRPr="004A718C">
              <w:t>Contre :</w:t>
            </w:r>
            <w:r w:rsidR="00136243" w:rsidRPr="004A718C">
              <w:t xml:space="preserve"> </w:t>
            </w:r>
          </w:p>
        </w:tc>
        <w:tc>
          <w:tcPr>
            <w:tcW w:w="6529" w:type="dxa"/>
            <w:vMerge/>
            <w:shd w:val="clear" w:color="auto" w:fill="auto"/>
          </w:tcPr>
          <w:p w:rsidR="00AD112E" w:rsidRPr="004A718C" w:rsidRDefault="00AD112E" w:rsidP="00AD112E">
            <w:pPr>
              <w:jc w:val="both"/>
              <w:rPr>
                <w:rFonts w:ascii="Calibri" w:hAnsi="Calibri"/>
                <w:sz w:val="22"/>
                <w:szCs w:val="22"/>
              </w:rPr>
            </w:pPr>
          </w:p>
        </w:tc>
      </w:tr>
      <w:tr w:rsidR="00AD112E" w:rsidRPr="004A718C" w:rsidTr="00BC1209">
        <w:tc>
          <w:tcPr>
            <w:tcW w:w="2376" w:type="dxa"/>
            <w:shd w:val="clear" w:color="auto" w:fill="auto"/>
          </w:tcPr>
          <w:p w:rsidR="00AD112E" w:rsidRPr="004A718C" w:rsidRDefault="00AD112E" w:rsidP="00AD112E">
            <w:pPr>
              <w:jc w:val="both"/>
              <w:rPr>
                <w:rFonts w:ascii="Calibri" w:hAnsi="Calibri"/>
                <w:sz w:val="22"/>
                <w:szCs w:val="22"/>
              </w:rPr>
            </w:pPr>
            <w:r w:rsidRPr="004A718C">
              <w:t>Représentés :</w:t>
            </w:r>
            <w:r w:rsidR="00CD5AE0" w:rsidRPr="004A718C">
              <w:t xml:space="preserve"> </w:t>
            </w:r>
          </w:p>
        </w:tc>
        <w:tc>
          <w:tcPr>
            <w:tcW w:w="1701" w:type="dxa"/>
            <w:shd w:val="clear" w:color="auto" w:fill="auto"/>
          </w:tcPr>
          <w:p w:rsidR="00AD112E" w:rsidRPr="004A718C" w:rsidRDefault="00AD112E" w:rsidP="00AD112E">
            <w:pPr>
              <w:jc w:val="both"/>
              <w:rPr>
                <w:rFonts w:ascii="Calibri" w:hAnsi="Calibri"/>
                <w:sz w:val="22"/>
                <w:szCs w:val="22"/>
              </w:rPr>
            </w:pPr>
            <w:r w:rsidRPr="004A718C">
              <w:t>Abstention :</w:t>
            </w:r>
            <w:r w:rsidR="00CD5AE0" w:rsidRPr="004A718C">
              <w:t xml:space="preserve"> </w:t>
            </w:r>
          </w:p>
        </w:tc>
        <w:tc>
          <w:tcPr>
            <w:tcW w:w="6529" w:type="dxa"/>
            <w:vMerge/>
            <w:shd w:val="clear" w:color="auto" w:fill="auto"/>
          </w:tcPr>
          <w:p w:rsidR="00AD112E" w:rsidRPr="004A718C" w:rsidRDefault="00AD112E" w:rsidP="00AD112E">
            <w:pPr>
              <w:jc w:val="both"/>
              <w:rPr>
                <w:rFonts w:ascii="Calibri" w:hAnsi="Calibri"/>
                <w:sz w:val="22"/>
                <w:szCs w:val="22"/>
              </w:rPr>
            </w:pPr>
          </w:p>
        </w:tc>
      </w:tr>
    </w:tbl>
    <w:p w:rsidR="00B54E08" w:rsidRPr="004A718C" w:rsidRDefault="00B54E08" w:rsidP="00B54E08">
      <w:pPr>
        <w:jc w:val="both"/>
        <w:rPr>
          <w:sz w:val="22"/>
          <w:szCs w:val="22"/>
        </w:rPr>
      </w:pPr>
    </w:p>
    <w:p w:rsidR="00CD5AE0" w:rsidRDefault="00CD5AE0" w:rsidP="00EB09D1">
      <w:pPr>
        <w:jc w:val="both"/>
        <w:rPr>
          <w:sz w:val="22"/>
          <w:szCs w:val="22"/>
        </w:rPr>
      </w:pPr>
      <w:r w:rsidRPr="004A718C">
        <w:rPr>
          <w:b/>
          <w:sz w:val="22"/>
          <w:szCs w:val="22"/>
        </w:rPr>
        <w:t>Présents :</w:t>
      </w:r>
      <w:r w:rsidRPr="004A718C">
        <w:rPr>
          <w:sz w:val="22"/>
          <w:szCs w:val="22"/>
        </w:rPr>
        <w:t xml:space="preserve">  </w:t>
      </w:r>
    </w:p>
    <w:p w:rsidR="00EB09D1" w:rsidRPr="00CD5AE0" w:rsidRDefault="00EB09D1" w:rsidP="00EB09D1">
      <w:pPr>
        <w:jc w:val="both"/>
        <w:rPr>
          <w:sz w:val="22"/>
          <w:szCs w:val="22"/>
        </w:rPr>
      </w:pPr>
      <w:r>
        <w:rPr>
          <w:sz w:val="22"/>
          <w:szCs w:val="22"/>
        </w:rPr>
        <w:t>Secrétaire de séance</w:t>
      </w:r>
    </w:p>
    <w:bookmarkEnd w:id="0"/>
    <w:p w:rsidR="00CD5AE0" w:rsidRPr="00CD5AE0" w:rsidRDefault="00CD5AE0" w:rsidP="00B54E08">
      <w:pPr>
        <w:jc w:val="both"/>
        <w:rPr>
          <w:sz w:val="22"/>
          <w:szCs w:val="22"/>
        </w:rPr>
      </w:pPr>
    </w:p>
    <w:p w:rsidR="00B54E08" w:rsidRPr="00CD5AE0" w:rsidRDefault="00B54E08" w:rsidP="00B54E08">
      <w:pPr>
        <w:jc w:val="both"/>
        <w:rPr>
          <w:b/>
          <w:bCs/>
          <w:sz w:val="22"/>
          <w:szCs w:val="22"/>
        </w:rPr>
      </w:pPr>
      <w:r w:rsidRPr="00CD5AE0">
        <w:rPr>
          <w:sz w:val="22"/>
          <w:szCs w:val="22"/>
          <w:u w:val="single"/>
        </w:rPr>
        <w:t>OBJET </w:t>
      </w:r>
      <w:r w:rsidRPr="00CD5AE0">
        <w:rPr>
          <w:sz w:val="22"/>
          <w:szCs w:val="22"/>
        </w:rPr>
        <w:t xml:space="preserve">: </w:t>
      </w:r>
      <w:r w:rsidRPr="00CD5AE0">
        <w:rPr>
          <w:b/>
          <w:bCs/>
          <w:sz w:val="22"/>
          <w:szCs w:val="22"/>
        </w:rPr>
        <w:t>COMPTE ADMINISTRATIF 202</w:t>
      </w:r>
      <w:r w:rsidR="00EB09D1">
        <w:rPr>
          <w:b/>
          <w:bCs/>
          <w:sz w:val="22"/>
          <w:szCs w:val="22"/>
        </w:rPr>
        <w:t>4</w:t>
      </w:r>
    </w:p>
    <w:p w:rsidR="00B54E08" w:rsidRPr="00D10D04" w:rsidRDefault="00B54E08" w:rsidP="00B54E08">
      <w:pPr>
        <w:jc w:val="both"/>
        <w:rPr>
          <w:b/>
          <w:bCs/>
          <w:sz w:val="22"/>
          <w:szCs w:val="22"/>
        </w:rPr>
      </w:pPr>
    </w:p>
    <w:p w:rsidR="00B54E08" w:rsidRPr="00D10D04" w:rsidRDefault="00B54E08" w:rsidP="00B54E08">
      <w:pPr>
        <w:jc w:val="both"/>
        <w:rPr>
          <w:sz w:val="22"/>
          <w:szCs w:val="22"/>
        </w:rPr>
      </w:pPr>
      <w:r w:rsidRPr="00D10D04">
        <w:rPr>
          <w:sz w:val="22"/>
          <w:szCs w:val="22"/>
        </w:rPr>
        <w:t>Le Rapporteur présente à l’assemblée le comp</w:t>
      </w:r>
      <w:bookmarkStart w:id="1" w:name="_GoBack"/>
      <w:bookmarkEnd w:id="1"/>
      <w:r w:rsidRPr="00D10D04">
        <w:rPr>
          <w:sz w:val="22"/>
          <w:szCs w:val="22"/>
        </w:rPr>
        <w:t>te administratif de l’exercice budgétaire 20</w:t>
      </w:r>
      <w:r>
        <w:rPr>
          <w:sz w:val="22"/>
          <w:szCs w:val="22"/>
        </w:rPr>
        <w:t>2</w:t>
      </w:r>
      <w:r w:rsidR="00EB09D1">
        <w:rPr>
          <w:sz w:val="22"/>
          <w:szCs w:val="22"/>
        </w:rPr>
        <w:t>4</w:t>
      </w:r>
      <w:r w:rsidRPr="00D10D04">
        <w:rPr>
          <w:sz w:val="22"/>
          <w:szCs w:val="22"/>
        </w:rPr>
        <w:t xml:space="preserve"> du GECOH</w:t>
      </w:r>
      <w:r>
        <w:rPr>
          <w:sz w:val="22"/>
          <w:szCs w:val="22"/>
        </w:rPr>
        <w:t>, joint en annexe de la présente.</w:t>
      </w:r>
    </w:p>
    <w:p w:rsidR="00B54E08" w:rsidRDefault="00B54E08" w:rsidP="00B54E08">
      <w:pPr>
        <w:jc w:val="both"/>
        <w:rPr>
          <w:b/>
          <w:bCs/>
          <w:sz w:val="22"/>
          <w:szCs w:val="22"/>
          <w:u w:val="single"/>
        </w:rPr>
      </w:pPr>
    </w:p>
    <w:p w:rsidR="00B54E08" w:rsidRPr="00D10D04" w:rsidRDefault="00B54E08" w:rsidP="00B54E08">
      <w:pPr>
        <w:jc w:val="both"/>
        <w:rPr>
          <w:b/>
          <w:bCs/>
          <w:sz w:val="22"/>
          <w:szCs w:val="22"/>
          <w:u w:val="single"/>
        </w:rPr>
      </w:pPr>
      <w:r w:rsidRPr="00D10D04">
        <w:rPr>
          <w:b/>
          <w:bCs/>
          <w:sz w:val="22"/>
          <w:szCs w:val="22"/>
          <w:u w:val="single"/>
        </w:rPr>
        <w:t>Section d’exploitation :</w:t>
      </w:r>
    </w:p>
    <w:p w:rsidR="00B54E08" w:rsidRDefault="00B54E08" w:rsidP="00B54E08">
      <w:pPr>
        <w:jc w:val="both"/>
        <w:rPr>
          <w:sz w:val="22"/>
          <w:szCs w:val="22"/>
        </w:rPr>
      </w:pPr>
    </w:p>
    <w:p w:rsidR="00B54E08" w:rsidRDefault="00B54E08" w:rsidP="00B54E08">
      <w:pPr>
        <w:jc w:val="both"/>
        <w:rPr>
          <w:sz w:val="22"/>
          <w:szCs w:val="22"/>
        </w:rPr>
      </w:pPr>
      <w:r w:rsidRPr="00D10D04">
        <w:rPr>
          <w:sz w:val="22"/>
          <w:szCs w:val="22"/>
        </w:rPr>
        <w:t>Pour mémoire, le budget primitif du GECOH a été adopté à l’unanimité par l’assemblée générale du</w:t>
      </w:r>
      <w:r>
        <w:rPr>
          <w:sz w:val="22"/>
          <w:szCs w:val="22"/>
        </w:rPr>
        <w:t xml:space="preserve"> </w:t>
      </w:r>
      <w:r w:rsidR="00EB09D1">
        <w:rPr>
          <w:sz w:val="22"/>
          <w:szCs w:val="22"/>
        </w:rPr>
        <w:t>12 avril 2024. Ce budget a fait l’objet d’une décision modificative adoptée à l’unanimité par l’assemblée générale du 9 décembre 2024</w:t>
      </w:r>
      <w:r>
        <w:rPr>
          <w:sz w:val="22"/>
          <w:szCs w:val="22"/>
        </w:rPr>
        <w:t>.</w:t>
      </w:r>
      <w:r w:rsidRPr="00D10D04">
        <w:rPr>
          <w:sz w:val="22"/>
          <w:szCs w:val="22"/>
        </w:rPr>
        <w:t xml:space="preserve"> </w:t>
      </w:r>
    </w:p>
    <w:p w:rsidR="00B54E08" w:rsidRPr="00D10D04" w:rsidRDefault="00B54E08" w:rsidP="00B54E08">
      <w:pPr>
        <w:jc w:val="both"/>
        <w:rPr>
          <w:sz w:val="22"/>
          <w:szCs w:val="22"/>
        </w:rPr>
      </w:pPr>
    </w:p>
    <w:p w:rsidR="00B54E08" w:rsidRPr="00D10D04" w:rsidRDefault="00B54E08" w:rsidP="00B54E08">
      <w:pPr>
        <w:jc w:val="both"/>
        <w:rPr>
          <w:b/>
          <w:bCs/>
          <w:sz w:val="22"/>
          <w:szCs w:val="22"/>
        </w:rPr>
      </w:pPr>
      <w:r w:rsidRPr="00D10D04">
        <w:rPr>
          <w:sz w:val="22"/>
          <w:szCs w:val="22"/>
        </w:rPr>
        <w:t>Le résultat de la section d’exploitation 20</w:t>
      </w:r>
      <w:r>
        <w:rPr>
          <w:sz w:val="22"/>
          <w:szCs w:val="22"/>
        </w:rPr>
        <w:t>2</w:t>
      </w:r>
      <w:r w:rsidR="00EB09D1">
        <w:rPr>
          <w:sz w:val="22"/>
          <w:szCs w:val="22"/>
        </w:rPr>
        <w:t>4</w:t>
      </w:r>
      <w:r w:rsidRPr="00D10D04">
        <w:rPr>
          <w:sz w:val="22"/>
          <w:szCs w:val="22"/>
        </w:rPr>
        <w:t xml:space="preserve"> est un </w:t>
      </w:r>
      <w:r w:rsidR="00EB09D1">
        <w:rPr>
          <w:sz w:val="22"/>
          <w:szCs w:val="22"/>
        </w:rPr>
        <w:t>déficit</w:t>
      </w:r>
      <w:r w:rsidR="00AD112E">
        <w:rPr>
          <w:sz w:val="22"/>
          <w:szCs w:val="22"/>
        </w:rPr>
        <w:t xml:space="preserve"> de </w:t>
      </w:r>
      <w:r w:rsidR="00EB09D1">
        <w:rPr>
          <w:sz w:val="22"/>
          <w:szCs w:val="22"/>
        </w:rPr>
        <w:t>140 695,30</w:t>
      </w:r>
      <w:r w:rsidR="00AD112E">
        <w:rPr>
          <w:sz w:val="22"/>
          <w:szCs w:val="22"/>
        </w:rPr>
        <w:t xml:space="preserve"> €.</w:t>
      </w:r>
    </w:p>
    <w:p w:rsidR="00B54E08" w:rsidRPr="00D10D04" w:rsidRDefault="00B54E08" w:rsidP="00B54E08">
      <w:pPr>
        <w:jc w:val="both"/>
        <w:rPr>
          <w:sz w:val="22"/>
          <w:szCs w:val="22"/>
        </w:rPr>
      </w:pPr>
    </w:p>
    <w:p w:rsidR="00B54E08" w:rsidRPr="00D10D04" w:rsidRDefault="00B54E08" w:rsidP="00B54E08">
      <w:pPr>
        <w:jc w:val="both"/>
        <w:rPr>
          <w:b/>
          <w:sz w:val="22"/>
          <w:szCs w:val="22"/>
        </w:rPr>
      </w:pPr>
      <w:r w:rsidRPr="00D10D04">
        <w:rPr>
          <w:sz w:val="22"/>
          <w:szCs w:val="22"/>
        </w:rPr>
        <w:t xml:space="preserve">Consolidé avec le résultat de l’exercice précédent </w:t>
      </w:r>
      <w:r>
        <w:rPr>
          <w:sz w:val="22"/>
          <w:szCs w:val="22"/>
        </w:rPr>
        <w:t xml:space="preserve">(un excédent de </w:t>
      </w:r>
      <w:r w:rsidR="00EB09D1">
        <w:rPr>
          <w:sz w:val="22"/>
          <w:szCs w:val="22"/>
        </w:rPr>
        <w:t>180 773,27</w:t>
      </w:r>
      <w:r>
        <w:rPr>
          <w:sz w:val="22"/>
          <w:szCs w:val="22"/>
        </w:rPr>
        <w:t xml:space="preserve"> €</w:t>
      </w:r>
      <w:r w:rsidRPr="00D10D04">
        <w:rPr>
          <w:sz w:val="22"/>
          <w:szCs w:val="22"/>
        </w:rPr>
        <w:t xml:space="preserve"> affecté en augmentation des crédits de l’exercice 20</w:t>
      </w:r>
      <w:r w:rsidR="00345BBF">
        <w:rPr>
          <w:sz w:val="22"/>
          <w:szCs w:val="22"/>
        </w:rPr>
        <w:t>2</w:t>
      </w:r>
      <w:r w:rsidR="00EB09D1">
        <w:rPr>
          <w:sz w:val="22"/>
          <w:szCs w:val="22"/>
        </w:rPr>
        <w:t>4</w:t>
      </w:r>
      <w:r>
        <w:rPr>
          <w:sz w:val="22"/>
          <w:szCs w:val="22"/>
        </w:rPr>
        <w:t>),</w:t>
      </w:r>
      <w:r w:rsidRPr="00D10D04">
        <w:rPr>
          <w:sz w:val="22"/>
          <w:szCs w:val="22"/>
        </w:rPr>
        <w:t xml:space="preserve"> le résultat s’établit à un excédent de</w:t>
      </w:r>
      <w:r>
        <w:rPr>
          <w:b/>
          <w:sz w:val="22"/>
          <w:szCs w:val="22"/>
        </w:rPr>
        <w:t xml:space="preserve"> </w:t>
      </w:r>
      <w:bookmarkStart w:id="2" w:name="_Hlk191910175"/>
      <w:r w:rsidR="00EB09D1">
        <w:rPr>
          <w:b/>
          <w:sz w:val="22"/>
          <w:szCs w:val="22"/>
        </w:rPr>
        <w:t>40 077,97</w:t>
      </w:r>
      <w:r>
        <w:rPr>
          <w:b/>
          <w:sz w:val="22"/>
          <w:szCs w:val="22"/>
        </w:rPr>
        <w:t xml:space="preserve"> </w:t>
      </w:r>
      <w:r w:rsidRPr="00D10D04">
        <w:rPr>
          <w:b/>
          <w:sz w:val="22"/>
          <w:szCs w:val="22"/>
        </w:rPr>
        <w:t>€.</w:t>
      </w:r>
      <w:bookmarkEnd w:id="2"/>
    </w:p>
    <w:p w:rsidR="00B54E08" w:rsidRPr="00D10D04" w:rsidRDefault="00B54E08" w:rsidP="00B54E08">
      <w:pPr>
        <w:jc w:val="both"/>
        <w:rPr>
          <w:b/>
          <w:sz w:val="22"/>
          <w:szCs w:val="22"/>
        </w:rPr>
      </w:pPr>
    </w:p>
    <w:p w:rsidR="00AD112E" w:rsidRDefault="00B54E08" w:rsidP="00345BBF">
      <w:pPr>
        <w:jc w:val="both"/>
        <w:rPr>
          <w:sz w:val="22"/>
          <w:szCs w:val="22"/>
        </w:rPr>
      </w:pPr>
      <w:r w:rsidRPr="00D10D04">
        <w:rPr>
          <w:sz w:val="22"/>
          <w:szCs w:val="22"/>
        </w:rPr>
        <w:t xml:space="preserve">Le rapporteur propose d’affecter le résultat </w:t>
      </w:r>
      <w:r w:rsidR="00AD112E">
        <w:rPr>
          <w:sz w:val="22"/>
          <w:szCs w:val="22"/>
        </w:rPr>
        <w:t>comme suit :</w:t>
      </w:r>
    </w:p>
    <w:p w:rsidR="00B54E08" w:rsidRDefault="00800E77" w:rsidP="00AD112E">
      <w:pPr>
        <w:pStyle w:val="Paragraphedeliste"/>
        <w:numPr>
          <w:ilvl w:val="0"/>
          <w:numId w:val="4"/>
        </w:numPr>
        <w:jc w:val="both"/>
        <w:rPr>
          <w:sz w:val="22"/>
          <w:szCs w:val="22"/>
        </w:rPr>
      </w:pPr>
      <w:r w:rsidRPr="00AD112E">
        <w:rPr>
          <w:sz w:val="22"/>
          <w:szCs w:val="22"/>
        </w:rPr>
        <w:t>En</w:t>
      </w:r>
      <w:r w:rsidR="00B54E08" w:rsidRPr="00AD112E">
        <w:rPr>
          <w:sz w:val="22"/>
          <w:szCs w:val="22"/>
        </w:rPr>
        <w:t xml:space="preserve"> augmentation des recettes de l’exercice 202</w:t>
      </w:r>
      <w:r w:rsidR="00EB09D1">
        <w:rPr>
          <w:sz w:val="22"/>
          <w:szCs w:val="22"/>
        </w:rPr>
        <w:t>5</w:t>
      </w:r>
      <w:r w:rsidR="00B54E08" w:rsidRPr="00AD112E">
        <w:rPr>
          <w:sz w:val="22"/>
          <w:szCs w:val="22"/>
        </w:rPr>
        <w:t xml:space="preserve"> (002) pour un montant de </w:t>
      </w:r>
      <w:r w:rsidR="00EB09D1">
        <w:rPr>
          <w:b/>
          <w:sz w:val="22"/>
          <w:szCs w:val="22"/>
        </w:rPr>
        <w:t xml:space="preserve">40 077,97 </w:t>
      </w:r>
      <w:r w:rsidR="00EB09D1" w:rsidRPr="00D10D04">
        <w:rPr>
          <w:b/>
          <w:sz w:val="22"/>
          <w:szCs w:val="22"/>
        </w:rPr>
        <w:t>€.</w:t>
      </w:r>
    </w:p>
    <w:p w:rsidR="00B54E08" w:rsidRPr="00D10D04" w:rsidRDefault="00B54E08" w:rsidP="00B54E08">
      <w:pPr>
        <w:jc w:val="both"/>
        <w:rPr>
          <w:sz w:val="22"/>
          <w:szCs w:val="22"/>
        </w:rPr>
      </w:pPr>
    </w:p>
    <w:p w:rsidR="00B54E08" w:rsidRPr="00D10D04" w:rsidRDefault="00B54E08" w:rsidP="00B54E08">
      <w:pPr>
        <w:jc w:val="both"/>
        <w:rPr>
          <w:b/>
          <w:sz w:val="22"/>
          <w:szCs w:val="22"/>
          <w:u w:val="single"/>
        </w:rPr>
      </w:pPr>
      <w:r w:rsidRPr="00D10D04">
        <w:rPr>
          <w:b/>
          <w:sz w:val="22"/>
          <w:szCs w:val="22"/>
          <w:u w:val="single"/>
        </w:rPr>
        <w:t>Section d’investissement</w:t>
      </w:r>
    </w:p>
    <w:p w:rsidR="00B54E08" w:rsidRDefault="00B54E08" w:rsidP="00B54E08">
      <w:pPr>
        <w:jc w:val="both"/>
        <w:rPr>
          <w:sz w:val="22"/>
          <w:szCs w:val="22"/>
        </w:rPr>
      </w:pPr>
      <w:r w:rsidRPr="0099666E">
        <w:rPr>
          <w:sz w:val="22"/>
          <w:szCs w:val="22"/>
        </w:rPr>
        <w:t>Le résultat de la section d’investissement 20</w:t>
      </w:r>
      <w:r w:rsidR="00345BBF">
        <w:rPr>
          <w:sz w:val="22"/>
          <w:szCs w:val="22"/>
        </w:rPr>
        <w:t>2</w:t>
      </w:r>
      <w:r w:rsidR="00EB09D1">
        <w:rPr>
          <w:sz w:val="22"/>
          <w:szCs w:val="22"/>
        </w:rPr>
        <w:t>4</w:t>
      </w:r>
      <w:r w:rsidRPr="0099666E">
        <w:rPr>
          <w:sz w:val="22"/>
          <w:szCs w:val="22"/>
        </w:rPr>
        <w:t xml:space="preserve"> </w:t>
      </w:r>
      <w:r>
        <w:rPr>
          <w:sz w:val="22"/>
          <w:szCs w:val="22"/>
        </w:rPr>
        <w:t xml:space="preserve">est un </w:t>
      </w:r>
      <w:r w:rsidR="00EB09D1">
        <w:rPr>
          <w:sz w:val="22"/>
          <w:szCs w:val="22"/>
        </w:rPr>
        <w:t>excédent</w:t>
      </w:r>
      <w:r w:rsidR="00EF53D0">
        <w:rPr>
          <w:sz w:val="22"/>
          <w:szCs w:val="22"/>
        </w:rPr>
        <w:t xml:space="preserve"> de </w:t>
      </w:r>
      <w:r w:rsidR="00EB09D1">
        <w:rPr>
          <w:sz w:val="22"/>
          <w:szCs w:val="22"/>
        </w:rPr>
        <w:t>4 489,44</w:t>
      </w:r>
      <w:r w:rsidR="003061BF">
        <w:rPr>
          <w:sz w:val="22"/>
          <w:szCs w:val="22"/>
        </w:rPr>
        <w:t xml:space="preserve"> €.</w:t>
      </w:r>
    </w:p>
    <w:p w:rsidR="008837C5" w:rsidRDefault="00B54E08" w:rsidP="00B54E08">
      <w:pPr>
        <w:jc w:val="both"/>
        <w:rPr>
          <w:sz w:val="22"/>
          <w:szCs w:val="22"/>
        </w:rPr>
      </w:pPr>
      <w:r>
        <w:rPr>
          <w:sz w:val="22"/>
          <w:szCs w:val="22"/>
        </w:rPr>
        <w:t>Consolidé avec le résultat de l’exercice précédent</w:t>
      </w:r>
      <w:r w:rsidR="003061BF">
        <w:rPr>
          <w:sz w:val="22"/>
          <w:szCs w:val="22"/>
        </w:rPr>
        <w:t xml:space="preserve"> (excédent de </w:t>
      </w:r>
      <w:r w:rsidR="00EB09D1">
        <w:rPr>
          <w:sz w:val="22"/>
          <w:szCs w:val="22"/>
        </w:rPr>
        <w:t>6 737,36</w:t>
      </w:r>
      <w:r w:rsidR="00EF53D0">
        <w:rPr>
          <w:sz w:val="22"/>
          <w:szCs w:val="22"/>
        </w:rPr>
        <w:t xml:space="preserve"> </w:t>
      </w:r>
      <w:r w:rsidR="003061BF">
        <w:rPr>
          <w:sz w:val="22"/>
          <w:szCs w:val="22"/>
        </w:rPr>
        <w:t>€)</w:t>
      </w:r>
      <w:r>
        <w:rPr>
          <w:sz w:val="22"/>
          <w:szCs w:val="22"/>
        </w:rPr>
        <w:t xml:space="preserve">, le résultat s’établit à un excédent de </w:t>
      </w:r>
    </w:p>
    <w:p w:rsidR="00B54E08" w:rsidRDefault="001D14D9" w:rsidP="00B54E08">
      <w:pPr>
        <w:jc w:val="both"/>
        <w:rPr>
          <w:sz w:val="22"/>
          <w:szCs w:val="22"/>
        </w:rPr>
      </w:pPr>
      <w:r>
        <w:rPr>
          <w:sz w:val="22"/>
          <w:szCs w:val="22"/>
        </w:rPr>
        <w:t>11 226,80</w:t>
      </w:r>
      <w:r w:rsidR="003061BF">
        <w:rPr>
          <w:sz w:val="22"/>
          <w:szCs w:val="22"/>
        </w:rPr>
        <w:t xml:space="preserve"> €</w:t>
      </w:r>
      <w:r w:rsidR="00B54E08">
        <w:rPr>
          <w:sz w:val="22"/>
          <w:szCs w:val="22"/>
        </w:rPr>
        <w:t>.</w:t>
      </w:r>
    </w:p>
    <w:p w:rsidR="00B54E08" w:rsidRDefault="00B54E08" w:rsidP="00B54E08">
      <w:pPr>
        <w:jc w:val="both"/>
        <w:rPr>
          <w:sz w:val="22"/>
          <w:szCs w:val="22"/>
        </w:rPr>
      </w:pPr>
      <w:r w:rsidRPr="00D10D04">
        <w:rPr>
          <w:sz w:val="22"/>
          <w:szCs w:val="22"/>
        </w:rPr>
        <w:t xml:space="preserve">Le </w:t>
      </w:r>
      <w:r w:rsidR="003061BF">
        <w:rPr>
          <w:sz w:val="22"/>
          <w:szCs w:val="22"/>
        </w:rPr>
        <w:t>Président</w:t>
      </w:r>
      <w:r w:rsidRPr="00D10D04">
        <w:rPr>
          <w:sz w:val="22"/>
          <w:szCs w:val="22"/>
        </w:rPr>
        <w:t xml:space="preserve"> invite l’assemblée à délibérer pour : </w:t>
      </w:r>
    </w:p>
    <w:p w:rsidR="004A718C" w:rsidRPr="00D10D04" w:rsidRDefault="004A718C" w:rsidP="00B54E08">
      <w:pPr>
        <w:jc w:val="both"/>
        <w:rPr>
          <w:sz w:val="22"/>
          <w:szCs w:val="22"/>
        </w:rPr>
      </w:pPr>
    </w:p>
    <w:p w:rsidR="00B54E08" w:rsidRDefault="00B54E08" w:rsidP="00B54E08">
      <w:pPr>
        <w:numPr>
          <w:ilvl w:val="0"/>
          <w:numId w:val="1"/>
        </w:numPr>
        <w:jc w:val="both"/>
        <w:rPr>
          <w:sz w:val="22"/>
          <w:szCs w:val="22"/>
        </w:rPr>
      </w:pPr>
      <w:r w:rsidRPr="00D10D04">
        <w:rPr>
          <w:sz w:val="22"/>
          <w:szCs w:val="22"/>
        </w:rPr>
        <w:t>Constater la concordance entre le compte administratif de l’exercice 20</w:t>
      </w:r>
      <w:r w:rsidR="00345BBF">
        <w:rPr>
          <w:sz w:val="22"/>
          <w:szCs w:val="22"/>
        </w:rPr>
        <w:t>2</w:t>
      </w:r>
      <w:r w:rsidR="001D14D9">
        <w:rPr>
          <w:sz w:val="22"/>
          <w:szCs w:val="22"/>
        </w:rPr>
        <w:t>4</w:t>
      </w:r>
      <w:r w:rsidRPr="00D10D04">
        <w:rPr>
          <w:sz w:val="22"/>
          <w:szCs w:val="22"/>
        </w:rPr>
        <w:t xml:space="preserve"> établi par l’ordonnateur et le compte de gestion du même exercice, établi par le Comptable public.</w:t>
      </w:r>
    </w:p>
    <w:p w:rsidR="00B54E08" w:rsidRPr="00D10D04" w:rsidRDefault="00B54E08" w:rsidP="00B54E08">
      <w:pPr>
        <w:numPr>
          <w:ilvl w:val="0"/>
          <w:numId w:val="1"/>
        </w:numPr>
        <w:jc w:val="both"/>
        <w:rPr>
          <w:sz w:val="22"/>
          <w:szCs w:val="22"/>
        </w:rPr>
      </w:pPr>
      <w:r w:rsidRPr="00D10D04">
        <w:rPr>
          <w:sz w:val="22"/>
          <w:szCs w:val="22"/>
        </w:rPr>
        <w:t>Adopter le compte administratif de l’exercice budgétaire 20</w:t>
      </w:r>
      <w:r w:rsidR="00345BBF">
        <w:rPr>
          <w:sz w:val="22"/>
          <w:szCs w:val="22"/>
        </w:rPr>
        <w:t>2</w:t>
      </w:r>
      <w:r w:rsidR="001D14D9">
        <w:rPr>
          <w:sz w:val="22"/>
          <w:szCs w:val="22"/>
        </w:rPr>
        <w:t>4</w:t>
      </w:r>
      <w:r w:rsidRPr="00D10D04">
        <w:rPr>
          <w:sz w:val="22"/>
          <w:szCs w:val="22"/>
        </w:rPr>
        <w:t xml:space="preserve"> comme ci-dessus énoncé.</w:t>
      </w:r>
    </w:p>
    <w:p w:rsidR="00CD5AE0" w:rsidRDefault="00B54E08" w:rsidP="00CD5AE0">
      <w:pPr>
        <w:numPr>
          <w:ilvl w:val="0"/>
          <w:numId w:val="1"/>
        </w:numPr>
        <w:jc w:val="both"/>
        <w:rPr>
          <w:sz w:val="22"/>
          <w:szCs w:val="22"/>
        </w:rPr>
      </w:pPr>
      <w:r w:rsidRPr="00D10D04">
        <w:rPr>
          <w:sz w:val="22"/>
          <w:szCs w:val="22"/>
        </w:rPr>
        <w:t>Décider l’affectation des résultats telle que décrite ci-devant</w:t>
      </w:r>
      <w:r w:rsidR="00CD5AE0">
        <w:rPr>
          <w:sz w:val="22"/>
          <w:szCs w:val="22"/>
        </w:rPr>
        <w:t>.</w:t>
      </w:r>
    </w:p>
    <w:p w:rsidR="00CD5AE0" w:rsidRPr="00CD5AE0" w:rsidRDefault="00CD5AE0" w:rsidP="00CD5AE0">
      <w:pPr>
        <w:ind w:left="720"/>
        <w:jc w:val="both"/>
        <w:rPr>
          <w:sz w:val="22"/>
          <w:szCs w:val="22"/>
        </w:rPr>
      </w:pPr>
    </w:p>
    <w:p w:rsidR="00CD5AE0" w:rsidRPr="00CD5AE0" w:rsidRDefault="00CD5AE0" w:rsidP="00CD5AE0">
      <w:pPr>
        <w:pStyle w:val="Paragraphedeliste"/>
        <w:tabs>
          <w:tab w:val="left" w:pos="5895"/>
        </w:tabs>
        <w:rPr>
          <w:rFonts w:ascii="Century" w:hAnsi="Century"/>
          <w:b/>
          <w:sz w:val="22"/>
          <w:szCs w:val="22"/>
        </w:rPr>
      </w:pPr>
      <w:bookmarkStart w:id="3" w:name="_Hlk164157493"/>
    </w:p>
    <w:bookmarkEnd w:id="3"/>
    <w:p w:rsidR="00CD5AE0" w:rsidRPr="0049717E" w:rsidRDefault="00CD5AE0" w:rsidP="00CD5AE0">
      <w:pPr>
        <w:ind w:left="720"/>
        <w:jc w:val="both"/>
        <w:rPr>
          <w:rFonts w:ascii="Century" w:hAnsi="Century"/>
          <w:sz w:val="22"/>
          <w:szCs w:val="22"/>
        </w:rPr>
      </w:pPr>
    </w:p>
    <w:p w:rsidR="00CD5AE0" w:rsidRDefault="00CD5AE0" w:rsidP="00507B33">
      <w:pPr>
        <w:spacing w:after="160" w:line="259" w:lineRule="auto"/>
        <w:rPr>
          <w:sz w:val="22"/>
          <w:szCs w:val="22"/>
        </w:rPr>
      </w:pPr>
    </w:p>
    <w:p w:rsidR="00472A0D" w:rsidRDefault="00472A0D" w:rsidP="00507B33">
      <w:pPr>
        <w:spacing w:after="160" w:line="259" w:lineRule="auto"/>
        <w:rPr>
          <w:sz w:val="22"/>
          <w:szCs w:val="22"/>
        </w:rPr>
      </w:pPr>
    </w:p>
    <w:p w:rsidR="00472A0D" w:rsidRDefault="00472A0D" w:rsidP="00507B33">
      <w:pPr>
        <w:spacing w:after="160" w:line="259" w:lineRule="auto"/>
        <w:rPr>
          <w:sz w:val="22"/>
          <w:szCs w:val="22"/>
        </w:rPr>
      </w:pPr>
    </w:p>
    <w:p w:rsidR="00472A0D" w:rsidRDefault="00472A0D" w:rsidP="00507B33">
      <w:pPr>
        <w:spacing w:after="160" w:line="259" w:lineRule="auto"/>
        <w:rPr>
          <w:sz w:val="22"/>
          <w:szCs w:val="22"/>
        </w:rPr>
      </w:pPr>
    </w:p>
    <w:p w:rsidR="00472A0D" w:rsidRDefault="00472A0D" w:rsidP="00507B33">
      <w:pPr>
        <w:spacing w:after="160" w:line="259" w:lineRule="auto"/>
        <w:rPr>
          <w:sz w:val="22"/>
          <w:szCs w:val="22"/>
        </w:rPr>
      </w:pPr>
    </w:p>
    <w:p w:rsidR="00472A0D" w:rsidRDefault="00472A0D" w:rsidP="00507B33">
      <w:pPr>
        <w:spacing w:after="160" w:line="259" w:lineRule="auto"/>
        <w:rPr>
          <w:sz w:val="22"/>
          <w:szCs w:val="22"/>
        </w:rPr>
      </w:pPr>
    </w:p>
    <w:p w:rsidR="00472A0D" w:rsidRDefault="00472A0D" w:rsidP="00472A0D">
      <w:pPr>
        <w:jc w:val="both"/>
        <w:rPr>
          <w:sz w:val="16"/>
          <w:szCs w:val="16"/>
        </w:rPr>
      </w:pPr>
      <w:r>
        <w:rPr>
          <w:sz w:val="16"/>
          <w:szCs w:val="16"/>
        </w:rPr>
        <w:t>Le président du GECOH certifie sous sa responsabilité le caractère exécutoire de cet acte, informe que la présente décision peut faire l’objet d’un recours pour excès de pouvoir devant le tribunal administratif de Montpellier dans un délai de deux mois à compter de sa publication. Le tribunal administratif peut aussi être saisi par l’application informatique « Télérecours Citoyens » accessible par le site internet www.telerecours.fr.</w:t>
      </w:r>
    </w:p>
    <w:p w:rsidR="00472A0D" w:rsidRDefault="00472A0D" w:rsidP="00507B33">
      <w:pPr>
        <w:spacing w:after="160" w:line="259" w:lineRule="auto"/>
        <w:rPr>
          <w:sz w:val="22"/>
          <w:szCs w:val="22"/>
        </w:rPr>
      </w:pPr>
    </w:p>
    <w:sectPr w:rsidR="00472A0D" w:rsidSect="00272D3D">
      <w:headerReference w:type="default" r:id="rId7"/>
      <w:pgSz w:w="11907" w:h="16840"/>
      <w:pgMar w:top="567" w:right="708"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19E" w:rsidRDefault="001F519E" w:rsidP="00B54E08">
      <w:r>
        <w:separator/>
      </w:r>
    </w:p>
  </w:endnote>
  <w:endnote w:type="continuationSeparator" w:id="0">
    <w:p w:rsidR="001F519E" w:rsidRDefault="001F519E" w:rsidP="00B54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19E" w:rsidRDefault="001F519E" w:rsidP="00B54E08">
      <w:r>
        <w:separator/>
      </w:r>
    </w:p>
  </w:footnote>
  <w:footnote w:type="continuationSeparator" w:id="0">
    <w:p w:rsidR="001F519E" w:rsidRDefault="001F519E" w:rsidP="00B54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E08" w:rsidRDefault="00B54E08">
    <w:pPr>
      <w:pStyle w:val="En-tte"/>
    </w:pPr>
    <w:r>
      <w:t>DEL 202</w:t>
    </w:r>
    <w:r w:rsidR="00EB09D1">
      <w:t>5</w:t>
    </w:r>
    <w:r>
      <w:t>-00</w:t>
    </w:r>
    <w:r w:rsidR="00AD112E">
      <w:t>1</w:t>
    </w:r>
  </w:p>
  <w:p w:rsidR="006B7A5E" w:rsidRDefault="001F51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553B1A"/>
    <w:multiLevelType w:val="hybridMultilevel"/>
    <w:tmpl w:val="489CE0F8"/>
    <w:lvl w:ilvl="0" w:tplc="0208384C">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64B2684"/>
    <w:multiLevelType w:val="hybridMultilevel"/>
    <w:tmpl w:val="E85E073C"/>
    <w:lvl w:ilvl="0" w:tplc="7B804BB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92F715A"/>
    <w:multiLevelType w:val="hybridMultilevel"/>
    <w:tmpl w:val="78AE4AF4"/>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3"/>
      <w:numFmt w:val="bullet"/>
      <w:lvlText w:val=""/>
      <w:lvlJc w:val="left"/>
      <w:pPr>
        <w:tabs>
          <w:tab w:val="num" w:pos="1440"/>
        </w:tabs>
        <w:ind w:left="1440" w:hanging="360"/>
      </w:pPr>
      <w:rPr>
        <w:rFonts w:ascii="Symbol" w:eastAsia="Times New Roman" w:hAnsi="Symbo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0535D8"/>
    <w:multiLevelType w:val="hybridMultilevel"/>
    <w:tmpl w:val="E786ACAC"/>
    <w:lvl w:ilvl="0" w:tplc="4CA848B6">
      <w:start w:val="2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08"/>
    <w:rsid w:val="00035E96"/>
    <w:rsid w:val="000A2D33"/>
    <w:rsid w:val="000C4682"/>
    <w:rsid w:val="00136243"/>
    <w:rsid w:val="001768C7"/>
    <w:rsid w:val="001D14D9"/>
    <w:rsid w:val="001F519E"/>
    <w:rsid w:val="00242C0A"/>
    <w:rsid w:val="002B09C4"/>
    <w:rsid w:val="002E3194"/>
    <w:rsid w:val="003061BF"/>
    <w:rsid w:val="00345BBF"/>
    <w:rsid w:val="003D32BA"/>
    <w:rsid w:val="00424091"/>
    <w:rsid w:val="00472A0D"/>
    <w:rsid w:val="004A718C"/>
    <w:rsid w:val="004B71B5"/>
    <w:rsid w:val="004C0862"/>
    <w:rsid w:val="005076C5"/>
    <w:rsid w:val="00507B33"/>
    <w:rsid w:val="00533F4A"/>
    <w:rsid w:val="005D0300"/>
    <w:rsid w:val="00640BE3"/>
    <w:rsid w:val="006E735C"/>
    <w:rsid w:val="007177B0"/>
    <w:rsid w:val="0072701D"/>
    <w:rsid w:val="0075484E"/>
    <w:rsid w:val="007A4760"/>
    <w:rsid w:val="007B1D77"/>
    <w:rsid w:val="007D3D09"/>
    <w:rsid w:val="00800E77"/>
    <w:rsid w:val="0085496A"/>
    <w:rsid w:val="008648FD"/>
    <w:rsid w:val="008837C5"/>
    <w:rsid w:val="008A38D6"/>
    <w:rsid w:val="008C00C8"/>
    <w:rsid w:val="008F2F7F"/>
    <w:rsid w:val="00935CE4"/>
    <w:rsid w:val="00946310"/>
    <w:rsid w:val="009873B7"/>
    <w:rsid w:val="009F1B6F"/>
    <w:rsid w:val="00A66600"/>
    <w:rsid w:val="00A77DA9"/>
    <w:rsid w:val="00A91EA6"/>
    <w:rsid w:val="00A9466C"/>
    <w:rsid w:val="00A96E16"/>
    <w:rsid w:val="00AD112E"/>
    <w:rsid w:val="00AE440C"/>
    <w:rsid w:val="00AF0AF6"/>
    <w:rsid w:val="00B047AE"/>
    <w:rsid w:val="00B3479F"/>
    <w:rsid w:val="00B54E08"/>
    <w:rsid w:val="00B935FC"/>
    <w:rsid w:val="00BA6A0D"/>
    <w:rsid w:val="00C20B1D"/>
    <w:rsid w:val="00CD5AE0"/>
    <w:rsid w:val="00E4197D"/>
    <w:rsid w:val="00EB09D1"/>
    <w:rsid w:val="00EF53D0"/>
    <w:rsid w:val="00F21FDD"/>
    <w:rsid w:val="00F87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F0647"/>
  <w15:chartTrackingRefBased/>
  <w15:docId w15:val="{B05FDD19-9E39-4F0B-AD36-DB0F1CD47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4E08"/>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54E08"/>
    <w:pPr>
      <w:tabs>
        <w:tab w:val="center" w:pos="4536"/>
        <w:tab w:val="right" w:pos="9072"/>
      </w:tabs>
    </w:pPr>
  </w:style>
  <w:style w:type="character" w:customStyle="1" w:styleId="En-tteCar">
    <w:name w:val="En-tête Car"/>
    <w:basedOn w:val="Policepardfaut"/>
    <w:link w:val="En-tte"/>
    <w:uiPriority w:val="99"/>
    <w:rsid w:val="00B54E0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B54E08"/>
    <w:pPr>
      <w:tabs>
        <w:tab w:val="center" w:pos="4536"/>
        <w:tab w:val="right" w:pos="9072"/>
      </w:tabs>
    </w:pPr>
  </w:style>
  <w:style w:type="character" w:customStyle="1" w:styleId="PieddepageCar">
    <w:name w:val="Pied de page Car"/>
    <w:basedOn w:val="Policepardfaut"/>
    <w:link w:val="Pieddepage"/>
    <w:uiPriority w:val="99"/>
    <w:rsid w:val="00B54E08"/>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AD1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30929">
      <w:bodyDiv w:val="1"/>
      <w:marLeft w:val="0"/>
      <w:marRight w:val="0"/>
      <w:marTop w:val="0"/>
      <w:marBottom w:val="0"/>
      <w:divBdr>
        <w:top w:val="none" w:sz="0" w:space="0" w:color="auto"/>
        <w:left w:val="none" w:sz="0" w:space="0" w:color="auto"/>
        <w:bottom w:val="none" w:sz="0" w:space="0" w:color="auto"/>
        <w:right w:val="none" w:sz="0" w:space="0" w:color="auto"/>
      </w:divBdr>
    </w:div>
    <w:div w:id="202481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2227</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Bilhac</dc:creator>
  <cp:keywords/>
  <dc:description/>
  <cp:lastModifiedBy>Direction Gecoh</cp:lastModifiedBy>
  <cp:revision>4</cp:revision>
  <cp:lastPrinted>2023-03-20T14:01:00Z</cp:lastPrinted>
  <dcterms:created xsi:type="dcterms:W3CDTF">2025-03-03T15:05:00Z</dcterms:created>
  <dcterms:modified xsi:type="dcterms:W3CDTF">2025-04-02T10:23:00Z</dcterms:modified>
</cp:coreProperties>
</file>